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241" w:rsidRPr="00D953FE" w:rsidRDefault="009C4241" w:rsidP="009C4241">
      <w:pPr>
        <w:spacing w:after="120" w:line="360" w:lineRule="auto"/>
        <w:jc w:val="center"/>
        <w:rPr>
          <w:rFonts w:ascii="Times New Roman" w:hAnsi="Times New Roman" w:cs="Times New Roman"/>
          <w:b/>
          <w:sz w:val="24"/>
          <w:szCs w:val="24"/>
        </w:rPr>
      </w:pPr>
      <w:r w:rsidRPr="00D953FE">
        <w:rPr>
          <w:rFonts w:ascii="Times New Roman" w:hAnsi="Times New Roman" w:cs="Times New Roman"/>
          <w:b/>
          <w:sz w:val="24"/>
          <w:szCs w:val="24"/>
        </w:rPr>
        <w:t>Περίληψη</w:t>
      </w:r>
    </w:p>
    <w:p w:rsidR="009C4241" w:rsidRPr="00D953FE" w:rsidRDefault="009C4241" w:rsidP="009C4241">
      <w:pPr>
        <w:spacing w:after="120" w:line="360" w:lineRule="auto"/>
        <w:jc w:val="center"/>
        <w:rPr>
          <w:rFonts w:ascii="Times New Roman" w:hAnsi="Times New Roman" w:cs="Times New Roman"/>
          <w:b/>
          <w:sz w:val="24"/>
          <w:szCs w:val="24"/>
        </w:rPr>
      </w:pPr>
      <w:r w:rsidRPr="00D953FE">
        <w:rPr>
          <w:rFonts w:ascii="Times New Roman" w:hAnsi="Times New Roman" w:cs="Times New Roman"/>
          <w:b/>
          <w:sz w:val="24"/>
          <w:szCs w:val="24"/>
        </w:rPr>
        <w:t>«Τέχνη και καλλιτέχνες στους ελληνικούς παπύρους της Αιγύπτου»</w:t>
      </w:r>
    </w:p>
    <w:p w:rsidR="009C4241" w:rsidRPr="00D953FE" w:rsidRDefault="009C4241" w:rsidP="009C4241">
      <w:pPr>
        <w:spacing w:after="120" w:line="360" w:lineRule="auto"/>
        <w:jc w:val="both"/>
        <w:rPr>
          <w:rFonts w:ascii="Times New Roman" w:hAnsi="Times New Roman" w:cs="Times New Roman"/>
          <w:sz w:val="24"/>
          <w:szCs w:val="24"/>
        </w:rPr>
      </w:pPr>
      <w:r w:rsidRPr="00D953FE">
        <w:rPr>
          <w:rFonts w:ascii="Times New Roman" w:hAnsi="Times New Roman" w:cs="Times New Roman"/>
          <w:sz w:val="24"/>
          <w:szCs w:val="24"/>
        </w:rPr>
        <w:t>Στόχος της προτεινόμενης διδακτορικής διατριβής είναι η καταγραφή και μελέτη των αναφορών στην τέχνη και τους καλλιτέχνες στους ελληνικούς παπύρους της Αιγύπτου. Θα εστιάσουμε το ενδιαφέρον μας στις γλωσσικές και λεξιλογικές αναφορές που σχετίζονται με τους καλλιτέχνες και την τέχνη, καθώς επίσης και στις αφορμές δημιουργίας καλλιτεχνικών έργων. Στο ίδιο πλαίσιο έρευνας εντάσσεται και ο εντοπισμός της κοινωνικής λειτουργίας της τέχνης, καθώς επίσης και των πιθανών μετατοπίσεων της λειτουργίας αυτής μέσα στο χρόνο. Θα μας απασχολήσει επίσης η κοινωνικής θέσης (</w:t>
      </w:r>
      <w:r w:rsidRPr="00D953FE">
        <w:rPr>
          <w:rFonts w:ascii="Times New Roman" w:hAnsi="Times New Roman" w:cs="Times New Roman"/>
          <w:sz w:val="24"/>
          <w:szCs w:val="24"/>
          <w:lang w:val="en-US"/>
        </w:rPr>
        <w:t>status</w:t>
      </w:r>
      <w:r w:rsidRPr="00D953FE">
        <w:rPr>
          <w:rFonts w:ascii="Times New Roman" w:hAnsi="Times New Roman" w:cs="Times New Roman"/>
          <w:sz w:val="24"/>
          <w:szCs w:val="24"/>
        </w:rPr>
        <w:t xml:space="preserve">) των καλλιτεχνών στην κοινωνία της Αιγύπτου και οι πιθανές μεταβολές αυτού του </w:t>
      </w:r>
      <w:r w:rsidRPr="00D953FE">
        <w:rPr>
          <w:rFonts w:ascii="Times New Roman" w:hAnsi="Times New Roman" w:cs="Times New Roman"/>
          <w:sz w:val="24"/>
          <w:szCs w:val="24"/>
          <w:lang w:val="en-US"/>
        </w:rPr>
        <w:t>status</w:t>
      </w:r>
      <w:r w:rsidRPr="00D953FE">
        <w:rPr>
          <w:rFonts w:ascii="Times New Roman" w:hAnsi="Times New Roman" w:cs="Times New Roman"/>
          <w:sz w:val="24"/>
          <w:szCs w:val="24"/>
        </w:rPr>
        <w:t xml:space="preserve"> κατά το πέρασμα των αιώνων. Ακόμη, αντικείμενο μελέτης θα αποτελέσει η διερεύνηση της εκπαίδευσης και της κοινωνικής θέσης των καλλιτεχνών τόσο κατά το πέρασμα από την ελληνιστική περίοδο στη Ρωμαϊκή κατάκτηση, όσο και κατά τη μετάβαση από την πολυθεϊστική στη μονοθεϊστική θρησκεία. Στόχος επίσης είναι η μελέτη των ιδεολογικών παραμέτρων που σχετίζονται με την τέχνη, όπως για παράδειγμα η σχέση τέχνης και εξουσίας, η σχέση τέχνης και θρησκείας και ο ρόλος της τέχνης ως αναπόσπαστου μέρους του δημόσιου και του ιδιωτικού βίου.</w:t>
      </w:r>
    </w:p>
    <w:p w:rsidR="00EB6C40" w:rsidRDefault="00EB6C40"/>
    <w:sectPr w:rsidR="00EB6C40" w:rsidSect="00B03C4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9C4241"/>
    <w:rsid w:val="002808D7"/>
    <w:rsid w:val="009410B9"/>
    <w:rsid w:val="009C4241"/>
    <w:rsid w:val="00EB6C4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8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1066</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Φώτης Προβής</dc:creator>
  <cp:lastModifiedBy>pbointa</cp:lastModifiedBy>
  <cp:revision>2</cp:revision>
  <dcterms:created xsi:type="dcterms:W3CDTF">2021-01-22T07:58:00Z</dcterms:created>
  <dcterms:modified xsi:type="dcterms:W3CDTF">2021-01-22T07:58:00Z</dcterms:modified>
</cp:coreProperties>
</file>